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46.png" ContentType="image/png"/>
  <Override PartName="/word/media/rId42.png" ContentType="image/png"/>
  <Override PartName="/word/media/rId28.png" ContentType="image/png"/>
  <Override PartName="/word/media/rId43.png" ContentType="image/png"/>
  <Override PartName="/word/media/rId48.png" ContentType="image/png"/>
  <Override PartName="/word/media/rId27.png" ContentType="image/png"/>
  <Override PartName="/word/media/rId32.png" ContentType="image/png"/>
  <Override PartName="/word/media/rId51.tif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1"/>
        </w:numPr>
      </w:pPr>
      <w:r>
        <w:t xml:space="preserve">Harvard Forest, Petersham, MA 01366, USA</w:t>
      </w:r>
    </w:p>
    <w:p>
      <w:pPr>
        <w:numPr>
          <w:ilvl w:val="0"/>
          <w:numId w:val="1001"/>
        </w:numPr>
      </w:pPr>
      <w:r>
        <w:t xml:space="preserve">Faculty of Forestry and Environmental Management, University of New Brunswick, Fredericton, NB, E3B 5A3, Canada.</w:t>
      </w:r>
    </w:p>
    <w:p>
      <w:pPr>
        <w:numPr>
          <w:ilvl w:val="0"/>
          <w:numId w:val="1001"/>
        </w:numPr>
      </w:pPr>
      <w:r>
        <w:t xml:space="preserve">NCSU</w:t>
      </w:r>
    </w:p>
    <w:p>
      <w:pPr>
        <w:numPr>
          <w:ilvl w:val="0"/>
          <w:numId w:val="1001"/>
        </w:numPr>
      </w:pPr>
      <w:r>
        <w:t xml:space="preserve">SERC</w:t>
      </w:r>
    </w:p>
    <w:p>
      <w:pPr>
        <w:numPr>
          <w:ilvl w:val="0"/>
          <w:numId w:val="1001"/>
        </w:numPr>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2" w:name="abstract"/>
    <w:p>
      <w:pPr>
        <w:pStyle w:val="Heading1"/>
      </w:pPr>
      <w:r>
        <w:t xml:space="preserve">Abstract</w:t>
      </w:r>
    </w:p>
    <w:p>
      <w:pPr>
        <w:pStyle w:val="FirstParagraph"/>
      </w:pPr>
      <w:r>
        <w:t xml:space="preserve">I like the</w:t>
      </w:r>
      <w:r>
        <w:t xml:space="preserve"> </w:t>
      </w:r>
      <w:hyperlink r:id="rId21">
        <w:r>
          <w:rPr>
            <w:rStyle w:val="Hyperlink"/>
          </w:rPr>
          <w:t xml:space="preserve">Nature summary paragraph template</w:t>
        </w:r>
      </w:hyperlink>
      <w:r>
        <w:t xml:space="preserve">:</w:t>
      </w:r>
    </w:p>
    <w:p>
      <w:pPr>
        <w:numPr>
          <w:ilvl w:val="0"/>
          <w:numId w:val="1002"/>
        </w:numPr>
        <w:pStyle w:val="Compact"/>
      </w:pPr>
      <w:r>
        <w:t xml:space="preserve">One or two sentences providing a basic introduction to the field, comprehensible to a scientist in any discipline.</w:t>
      </w:r>
    </w:p>
    <w:p>
      <w:pPr>
        <w:numPr>
          <w:ilvl w:val="0"/>
          <w:numId w:val="1002"/>
        </w:numPr>
        <w:pStyle w:val="Compact"/>
      </w:pPr>
      <w:r>
        <w:t xml:space="preserve">Two to three sentences ofmore detailed background, comprehensible to scientists in related disciplines.</w:t>
      </w:r>
    </w:p>
    <w:p>
      <w:pPr>
        <w:numPr>
          <w:ilvl w:val="0"/>
          <w:numId w:val="1002"/>
        </w:numPr>
        <w:pStyle w:val="Compact"/>
      </w:pPr>
      <w:r>
        <w:t xml:space="preserve">One sentence clearly stating the general problem being addressed by this particular study.</w:t>
      </w:r>
    </w:p>
    <w:p>
      <w:pPr>
        <w:numPr>
          <w:ilvl w:val="0"/>
          <w:numId w:val="1002"/>
        </w:numPr>
        <w:pStyle w:val="Compact"/>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numPr>
          <w:ilvl w:val="0"/>
          <w:numId w:val="1002"/>
        </w:numPr>
        <w:pStyle w:val="Compact"/>
      </w:pPr>
      <w:r>
        <w:t xml:space="preserve">Two or three sentences explaining what the main result reveals in direct comparison to what was thought to be the case previously, or how the main result adds to previous knowledge.</w:t>
      </w:r>
    </w:p>
    <w:p>
      <w:pPr>
        <w:numPr>
          <w:ilvl w:val="0"/>
          <w:numId w:val="1002"/>
        </w:numPr>
        <w:pStyle w:val="Compact"/>
      </w:pPr>
      <w:r>
        <w:t xml:space="preserve">One or two sentences to put the results into a more general context.</w:t>
      </w:r>
    </w:p>
    <w:p>
      <w:pPr>
        <w:numPr>
          <w:ilvl w:val="0"/>
          <w:numId w:val="1002"/>
        </w:numPr>
        <w:pStyle w:val="Compact"/>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bookmarkEnd w:id="22"/>
    <w:bookmarkStart w:id="30" w:name="introduction"/>
    <w:p>
      <w:pPr>
        <w:pStyle w:val="Heading1"/>
      </w:pPr>
      <w:r>
        <w:t xml:space="preserve">Introduction</w:t>
      </w:r>
    </w:p>
    <w:bookmarkStart w:id="23" w:name="X660eb9b5071899a1078d478a7b98063919019bb"/>
    <w:p>
      <w:pPr>
        <w:pStyle w:val="Heading2"/>
      </w:pPr>
      <w:r>
        <w:t xml:space="preserve">(forests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(Bonan, 2008)</w:t>
      </w:r>
      <w:r>
        <w:t xml:space="preserve">. However, their future under the current era of rapid change is uncertain</w:t>
      </w:r>
      <w:r>
        <w:t xml:space="preserve"> </w:t>
      </w:r>
      <w:r>
        <w:t xml:space="preserve">(Friedlingstein et al., 2006)</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3"/>
    <w:bookmarkStart w:id="24" w:name="Xe4a691bc37377ddcf1a219643891dd21faa35e9"/>
    <w:p>
      <w:pPr>
        <w:pStyle w:val="Heading2"/>
      </w:pPr>
      <w:r>
        <w:t xml:space="preserve">(spring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bookmarkEnd w:id="24"/>
    <w:bookmarkStart w:id="25" w:name="X3392c3350558a55138fccfecaf342085b00d3ad"/>
    <w:p>
      <w:pPr>
        <w:pStyle w:val="Heading2"/>
      </w:pPr>
      <w:r>
        <w:t xml:space="preserve">(However,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bookmarkEnd w:id="25"/>
    <w:bookmarkStart w:id="26" w:name="Xa41eb0e22d6bf5c223bb3aff53cf0ee87481062"/>
    <w:p>
      <w:pPr>
        <w:pStyle w:val="Heading2"/>
      </w:pPr>
      <w:r>
        <w:t xml:space="preserve">(We also know little about differences across species or functional groups, which matters because it will affect how different species fare under climate change )</w:t>
      </w:r>
    </w:p>
    <w:p>
      <w:pPr>
        <w:pStyle w:val="FirstParagraph"/>
      </w:pP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For example, 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6"/>
    <w:bookmarkStart w:id="29" w:name="here-we"/>
    <w:p>
      <w:pPr>
        <w:pStyle w:val="Heading2"/>
      </w:pPr>
      <w:r>
        <w:t xml:space="preserve">(Here, we…)</w:t>
      </w:r>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334000" cy="2998893"/>
            <wp:effectExtent b="0" l="0" r="0" t="0"/>
            <wp:docPr descr="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7"/>
                    <a:stretch>
                      <a:fillRect/>
                    </a:stretch>
                  </pic:blipFill>
                  <pic:spPr bwMode="auto">
                    <a:xfrm>
                      <a:off x="0" y="0"/>
                      <a:ext cx="5334000" cy="2998893"/>
                    </a:xfrm>
                    <a:prstGeom prst="rect">
                      <a:avLst/>
                    </a:prstGeom>
                    <a:noFill/>
                    <a:ln w="9525">
                      <a:noFill/>
                      <a:headEnd/>
                      <a:tailEnd/>
                    </a:ln>
                  </pic:spPr>
                </pic:pic>
              </a:graphicData>
            </a:graphic>
          </wp:inline>
        </w:drawing>
      </w:r>
    </w:p>
    <w:p>
      <w:pPr>
        <w:pStyle w:val="ImageCaption"/>
      </w:pPr>
      <w:r>
        <w:t xml:space="preserve">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334000" cy="2348552"/>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8"/>
                    <a:stretch>
                      <a:fillRect/>
                    </a:stretch>
                  </pic:blipFill>
                  <pic:spPr bwMode="auto">
                    <a:xfrm>
                      <a:off x="0" y="0"/>
                      <a:ext cx="5334000" cy="2348552"/>
                    </a:xfrm>
                    <a:prstGeom prst="rect">
                      <a:avLst/>
                    </a:prstGeom>
                    <a:noFill/>
                    <a:ln w="9525">
                      <a:noFill/>
                      <a:headEnd/>
                      <a:tailEnd/>
                    </a:ln>
                  </pic:spPr>
                </pic:pic>
              </a:graphicData>
            </a:graphic>
          </wp:inline>
        </w:drawing>
      </w:r>
    </w:p>
    <w:bookmarkEnd w:id="29"/>
    <w:bookmarkEnd w:id="30"/>
    <w:bookmarkStart w:id="41" w:name="materials-and-methods"/>
    <w:p>
      <w:pPr>
        <w:pStyle w:val="Heading1"/>
      </w:pPr>
      <w:r>
        <w:t xml:space="preserve">Materials and Methods</w:t>
      </w:r>
    </w:p>
    <w:bookmarkStart w:id="31" w:name="study-sites"/>
    <w:p>
      <w:pPr>
        <w:pStyle w:val="Heading2"/>
      </w:pPr>
      <w:r>
        <w:t xml:space="preserve">Study sites</w:t>
      </w:r>
    </w:p>
    <w:p>
      <w:pPr>
        <w:pStyle w:val="FirstParagraph"/>
      </w:pPr>
      <w:r>
        <w:t xml:space="preserve">Study sites included two temperate forests in the eastern United States, both part of the Forest Global Earth Observatory [ForestGEO; Anderson-Teixeira et al. 2015].</w:t>
      </w:r>
    </w:p>
    <w:p>
      <w:pPr>
        <w:pStyle w:val="BodyText"/>
      </w:pPr>
      <w:r>
        <w:t xml:space="preserve">Our first study site was the forest dynamics plot located at the Smithsonian Conservation Biology Institute 5 km South of Front Royal, Virginia within the Blue Ridge Mountains (38.8935° N, 78.1454° W; elevation 273–338 m.a.s.l.). The forest here was established in the mid-19th century after conversion from agricultural fields. 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 The climate is humid temperate, with a mean annual precipitation of 998 mm, January temperatures averaging 1 degrees C and July temperatures averaging 24 degrees C (Helcoski et al, 2019).</w:t>
      </w:r>
    </w:p>
    <w:p>
      <w:pPr>
        <w:pStyle w:val="BodyText"/>
      </w:pPr>
      <w:r>
        <w:t xml:space="preserve">The second study site was Harvard Forest (42.5388° N, 72.1755° W, 340-368 m.a.s.l.), located near the central Massachusetts town of Petersham.</w:t>
      </w:r>
      <w:r>
        <w:t xml:space="preserve"> </w:t>
      </w:r>
      <w:r>
        <w:rPr>
          <w:i/>
        </w:rPr>
        <w:t xml:space="preserve">Harvard Forest was established in 1907 as a study site for university students and researchers. (Previous use?)</w:t>
      </w:r>
      <w:r>
        <w:t xml:space="preserve"> </w:t>
      </w:r>
      <w:r>
        <w:t xml:space="preserve">Dominate species within the approximately 13 HA plot are hemlock (</w:t>
      </w:r>
      <w:r>
        <w:rPr>
          <w:i/>
        </w:rPr>
        <w:t xml:space="preserve">Tsuga spp.</w:t>
      </w:r>
      <w:r>
        <w:t xml:space="preserve">), oak (</w:t>
      </w:r>
      <w:r>
        <w:rPr>
          <w:i/>
        </w:rPr>
        <w:t xml:space="preserve">Quercus spp.</w:t>
      </w:r>
      <w:r>
        <w:t xml:space="preserve">) and maple (</w:t>
      </w:r>
      <w:r>
        <w:rPr>
          <w:i/>
        </w:rPr>
        <w:t xml:space="preserve">Acer spp.</w:t>
      </w:r>
      <w:r>
        <w:t xml:space="preserve">). The climate is temperate continental with a mean annual precipitation of 1120 mm, January temperatures averaging -12 degrees C and July temperatures averaging 19 degrees C (D’Orangeville et al, ).</w:t>
      </w:r>
    </w:p>
    <w:bookmarkEnd w:id="31"/>
    <w:bookmarkStart w:id="38" w:name="data-preparation"/>
    <w:p>
      <w:pPr>
        <w:pStyle w:val="Heading2"/>
      </w:pPr>
      <w:r>
        <w:t xml:space="preserve">Data preparation</w:t>
      </w:r>
    </w:p>
    <w:bookmarkStart w:id="33" w:name="dendrometer-bands"/>
    <w:p>
      <w:pPr>
        <w:pStyle w:val="Heading3"/>
      </w:pPr>
      <w:r>
        <w:t xml:space="preserve">Dendrometer bands</w:t>
      </w:r>
    </w:p>
    <w:p>
      <w:pPr>
        <w:pStyle w:val="FirstParagraph"/>
      </w:pPr>
      <w:r>
        <w:t xml:space="preserve">Metal dendrometer bands installed on a total of 463 trees within the SCBI and Harvard Forest ForestGEO plots (Table 2).</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w:t>
      </w:r>
      <w:r>
        <w:t xml:space="preserve"> </w:t>
      </w:r>
      <w:r>
        <w:t xml:space="preserve">Across years, the number of bands sampled averaged</w:t>
      </w:r>
      <w:r>
        <w:t xml:space="preserve"> </w:t>
      </w:r>
      <w:r>
        <w:rPr>
          <w:i/>
        </w:rPr>
        <w:t xml:space="preserve">~135</w:t>
      </w:r>
      <w:r>
        <w:t xml:space="preserve"> </w:t>
      </w:r>
      <w:r>
        <w:t xml:space="preserve">(range: 99-145) at SCBI and</w:t>
      </w:r>
      <w:r>
        <w:t xml:space="preserve"> </w:t>
      </w:r>
      <w:r>
        <w:rPr>
          <w:i/>
        </w:rPr>
        <w:t xml:space="preserve">~717</w:t>
      </w:r>
      <w:r>
        <w:t xml:space="preserve"> </w:t>
      </w:r>
      <w:r>
        <w:t xml:space="preserve">(range:</w:t>
      </w:r>
      <w:r>
        <w:t xml:space="preserve"> </w:t>
      </w:r>
      <w:r>
        <w:rPr>
          <w:i/>
        </w:rPr>
        <w:t xml:space="preserve">700-755</w:t>
      </w:r>
      <w:r>
        <w:t xml:space="preserve">) at Harvard Forest.</w:t>
      </w:r>
      <w:r>
        <w:t xml:space="preserve"> </w:t>
      </w:r>
      <w:r>
        <w:t xml:space="preserve">In total, our analysis included 2459 tree-years (Table 2).</w:t>
      </w:r>
    </w:p>
    <w:p>
      <w:pPr>
        <w:pStyle w:val="BodyText"/>
      </w:pPr>
      <w:r>
        <w:drawing>
          <wp:inline>
            <wp:extent cx="5334000" cy="2856313"/>
            <wp:effectExtent b="0" l="0" r="0" t="0"/>
            <wp:docPr descr="" title="" id="1" name="Picture"/>
            <a:graphic>
              <a:graphicData uri="http://schemas.openxmlformats.org/drawingml/2006/picture">
                <pic:pic>
                  <pic:nvPicPr>
                    <pic:cNvPr descr="tables_figures/species_table.png" id="0" name="Picture"/>
                    <pic:cNvPicPr>
                      <a:picLocks noChangeArrowheads="1" noChangeAspect="1"/>
                    </pic:cNvPicPr>
                  </pic:nvPicPr>
                  <pic:blipFill>
                    <a:blip r:embed="rId32"/>
                    <a:stretch>
                      <a:fillRect/>
                    </a:stretch>
                  </pic:blipFill>
                  <pic:spPr bwMode="auto">
                    <a:xfrm>
                      <a:off x="0" y="0"/>
                      <a:ext cx="5334000" cy="2856313"/>
                    </a:xfrm>
                    <a:prstGeom prst="rect">
                      <a:avLst/>
                    </a:prstGeom>
                    <a:noFill/>
                    <a:ln w="9525">
                      <a:noFill/>
                      <a:headEnd/>
                      <a:tailEnd/>
                    </a:ln>
                  </pic:spPr>
                </pic:pic>
              </a:graphicData>
            </a:graphic>
          </wp:inline>
        </w:drawing>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McMahon &amp; Parker (2015)</w:t>
      </w:r>
      <w:r>
        <w:t xml:space="preserve"> </w:t>
      </w:r>
      <w:r>
        <w:t xml:space="preserve">to define</w:t>
      </w:r>
      <w:r>
        <w:t xml:space="preserve"> </w:t>
      </w:r>
      <w:r>
        <w:rPr>
          <w:i/>
        </w:rPr>
        <w:t xml:space="preserve">phenological dates and growth rates</w:t>
      </w:r>
      <w:r>
        <w:t xml:space="preserve"> </w:t>
      </w:r>
      <w:r>
        <w:t xml:space="preserve">(Fig. 1). This 5 parameter logistic model was fitted to each tag year’s dendrometer band measurements in R:</w:t>
      </w:r>
    </w:p>
    <w:p>
      <w:pPr>
        <w:pStyle w:val="BodyText"/>
      </w:pPr>
      <m:oMathPara>
        <m:oMathParaPr>
          <m:jc m:val="center"/>
        </m:oMathParaPr>
        <m:oMath>
          <m:r>
            <m:t>D</m:t>
          </m:r>
          <m:r>
            <m:t>B</m:t>
          </m:r>
          <m:r>
            <m:t>H</m:t>
          </m:r>
          <m:r>
            <m:t>=</m:t>
          </m:r>
          <m:r>
            <m:t>L</m:t>
          </m:r>
          <m:r>
            <m:t>+</m:t>
          </m:r>
          <m:f>
            <m:fPr>
              <m:type m:val="bar"/>
            </m:fPr>
            <m:num>
              <m:r>
                <m:t>K</m:t>
              </m:r>
              <m:r>
                <m:t>−</m:t>
              </m:r>
              <m:r>
                <m:t>L</m:t>
              </m:r>
            </m:num>
            <m:den>
              <m:r>
                <m:t>1</m:t>
              </m:r>
              <m:r>
                <m:t>+</m:t>
              </m:r>
              <m:r>
                <m:t>1</m:t>
              </m:r>
              <m:r>
                <m:t>/</m:t>
              </m:r>
              <m:r>
                <m:t>θ</m:t>
              </m:r>
              <m:r>
                <m:t>⋅</m:t>
              </m:r>
              <m:r>
                <m:t>e</m:t>
              </m:r>
              <m:r>
                <m:t>x</m:t>
              </m:r>
              <m:r>
                <m:t>p</m:t>
              </m:r>
              <m:r>
                <m:t>[</m:t>
              </m:r>
              <m:r>
                <m:t>−</m:t>
              </m:r>
              <m:r>
                <m:t>r</m:t>
              </m:r>
              <m:r>
                <m:t>(</m:t>
              </m:r>
              <m:r>
                <m:t>D</m:t>
              </m:r>
              <m:r>
                <m:t>O</m:t>
              </m:r>
              <m:r>
                <m:t>Y</m:t>
              </m:r>
              <m:r>
                <m:t>−</m:t>
              </m:r>
              <m:r>
                <m:t>D</m:t>
              </m:r>
              <m:r>
                <m:t>O</m:t>
              </m:r>
              <m:sSub>
                <m:e>
                  <m:r>
                    <m:t>Y</m:t>
                  </m:r>
                </m:e>
                <m:sub>
                  <m:r>
                    <m:t>i</m:t>
                  </m:r>
                  <m:r>
                    <m:t>p</m:t>
                  </m:r>
                </m:sub>
              </m:sSub>
              <m:r>
                <m:t>)</m:t>
              </m:r>
              <m:r>
                <m:t>/</m:t>
              </m:r>
              <m:r>
                <m:t>θ</m:t>
              </m:r>
              <m:r>
                <m:t>)</m:t>
              </m:r>
              <m:sSup>
                <m:e>
                  <m:r>
                    <m:t>]</m:t>
                  </m:r>
                </m:e>
                <m:sup>
                  <m:r>
                    <m:t>θ</m:t>
                  </m:r>
                </m:sup>
              </m:sSup>
            </m:den>
          </m:f>
        </m:oMath>
      </m:oMathPara>
    </w:p>
    <w:p>
      <w:pPr>
        <w:pStyle w:val="FirstParagraph"/>
      </w:pPr>
      <w:r>
        <w:rPr>
          <w:b/>
        </w:rPr>
        <w:t xml:space="preserve">(Cameron, please check equation following formatting. )</w:t>
      </w:r>
      <w:r>
        <w:t xml:space="preserve"> </w:t>
      </w: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θ</m:t>
        </m:r>
      </m:oMath>
      <w:r>
        <w:t xml:space="preserve"> </w:t>
      </w:r>
      <w:r>
        <w:t xml:space="preserve">is a tuning parameter controlling the slope of the curve toward the upper asymptote,</w:t>
      </w:r>
      <w:r>
        <w:t xml:space="preserve"> </w:t>
      </w:r>
      <m:oMath>
        <m:r>
          <m:t>r</m:t>
        </m:r>
      </m:oMath>
      <w:r>
        <w:t xml:space="preserve"> </w:t>
      </w:r>
      <w:r>
        <w:t xml:space="preserve">is the slope of the curve at the inflection point,</w:t>
      </w:r>
      <w:r>
        <w:t xml:space="preserve"> </w:t>
      </w:r>
      <m:oMath>
        <m:r>
          <m:t>d</m:t>
        </m:r>
        <m:r>
          <m:t>o</m:t>
        </m:r>
        <m:sSub>
          <m:e>
            <m:r>
              <m:t>y</m:t>
            </m:r>
          </m:e>
          <m:sub>
            <m:r>
              <m:t>i</m:t>
            </m:r>
            <m:r>
              <m:t>p</m:t>
            </m:r>
          </m:sub>
        </m:sSub>
      </m:oMath>
      <w:r>
        <w:t xml:space="preserve"> </w:t>
      </w:r>
      <w:r>
        <w:t xml:space="preserve">is the day of year where the inflection point occurs, and</w:t>
      </w:r>
      <w:r>
        <w:t xml:space="preserve"> </w:t>
      </w:r>
      <m:oMath>
        <m:r>
          <m:t>d</m:t>
        </m:r>
        <m:r>
          <m:t>o</m:t>
        </m:r>
        <m:r>
          <m:t>y</m:t>
        </m:r>
      </m:oMath>
      <w:r>
        <w:t xml:space="preserve"> </w:t>
      </w:r>
      <w:r>
        <w:t xml:space="preserve">are the modeled days of year, in this case, 1-365.</w:t>
      </w:r>
      <w:r>
        <w:t xml:space="preserve"> </w:t>
      </w:r>
      <w:r>
        <w:rPr>
          <w:i/>
        </w:rPr>
        <w:t xml:space="preserve">We note that the maximum growth rate does not always occur on the doy_ip, and is controlled magically by theta somehow.</w:t>
      </w:r>
      <w:r>
        <w:t xml:space="preserve"> </w:t>
      </w:r>
      <w:r>
        <w:t xml:space="preserve">Using the optimized parameters for each tree year, we could then determine the</w:t>
      </w:r>
      <w:r>
        <w:t xml:space="preserve"> </w:t>
      </w:r>
      <m:oMath>
        <m:r>
          <m:t>D</m:t>
        </m:r>
        <m:r>
          <m:t>B</m:t>
        </m:r>
        <m:r>
          <m:t>H</m:t>
        </m:r>
      </m:oMath>
      <w:r>
        <w:t xml:space="preserve"> </w:t>
      </w:r>
      <w:r>
        <w:t xml:space="preserve">on every day within that year, giving us the ability to extract the intra-annual growth variables we were interested in.</w:t>
      </w:r>
    </w:p>
    <w:p>
      <w:pPr>
        <w:pStyle w:val="BodyText"/>
      </w:pPr>
      <w:r>
        <w:t xml:space="preserve">After model fitting,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tag years were removed under five conditions:</w:t>
      </w:r>
      <w:r>
        <w:br/>
      </w:r>
      <w:r>
        <w:t xml:space="preserve">(1) single day growth rates were higher than 2 standard deviations away from the mean for each wood-type (SCBI = 2, HF = 34);</w:t>
      </w:r>
      <w:r>
        <w:t xml:space="preserve"> </w:t>
      </w:r>
      <w:r>
        <w:t xml:space="preserve">(2) DOY where peak growth rate occurred was 2 standard deviations away, calculated for each wood-type in each year (aimed to remove models which predicted growth to peak during the winter;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w:t>
      </w:r>
      <w:r>
        <w:t xml:space="preserve"> </w:t>
      </w:r>
      <w:r>
        <w:t xml:space="preserve">At SCBI a higher proportion of oak trees were removed</w:t>
      </w:r>
      <w:r>
        <w:t xml:space="preserve"> </w:t>
      </w:r>
      <w:r>
        <w:rPr>
          <w:i/>
        </w:rPr>
        <w:t xml:space="preserve">(data_cleaning_figure_scbi)</w:t>
      </w:r>
      <w:r>
        <w:t xml:space="preserve">.</w:t>
      </w:r>
      <w:r>
        <w:t xml:space="preserve"> </w:t>
      </w:r>
      <w:r>
        <w:t xml:space="preserve">The majority (White oak = 91, Red oak = 79) were removed in step 5 above, indicating that the LG5 model struggled to accurately model these these species.</w:t>
      </w:r>
    </w:p>
    <w:bookmarkEnd w:id="33"/>
    <w:bookmarkStart w:id="34" w:name="tree-rings"/>
    <w:p>
      <w:pPr>
        <w:pStyle w:val="Heading3"/>
      </w:pP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2), excluding species with other xylem architectures (</w:t>
      </w:r>
      <w:r>
        <w:rPr>
          <w:i/>
        </w:rPr>
        <w:t xml:space="preserve">Juglans nigra</w:t>
      </w:r>
      <w:r>
        <w:t xml:space="preserve"> </w:t>
      </w:r>
      <w:r>
        <w:t xml:space="preserve">L. at SCBI,</w:t>
      </w:r>
      <w:r>
        <w:t xml:space="preserve"> </w:t>
      </w:r>
      <w:r>
        <w:rPr>
          <w:i/>
        </w:rPr>
        <w:t xml:space="preserve">Tsuga Canadensis</w:t>
      </w:r>
      <w:r>
        <w:t xml:space="preserve"> </w:t>
      </w:r>
      <w:r>
        <w:t xml:space="preserve">(L.) Carrière at Harvard Forest)</w:t>
      </w:r>
      <w:r>
        <w:t xml:space="preserve"> </w:t>
      </w:r>
      <w:r>
        <w:t xml:space="preserve">At SCBI, cores were collected as described in</w:t>
      </w:r>
      <w:r>
        <w:t xml:space="preserve"> </w:t>
      </w:r>
      <w:r>
        <w:t xml:space="preserve">(</w:t>
      </w:r>
      <w:r>
        <w:rPr>
          <w:b/>
        </w:rPr>
        <w:t xml:space="preserve">???</w:t>
      </w:r>
      <w:r>
        <w:t xml:space="preserve">)</w:t>
      </w:r>
      <w:r>
        <w:t xml:space="preserve">.</w:t>
      </w:r>
      <w:r>
        <w:t xml:space="preserve"> </w:t>
      </w:r>
      <w:r>
        <w:t xml:space="preserve">Briefly, cores were taken from living or recently dead trees</w:t>
      </w:r>
      <w:r>
        <w:t xml:space="preserve"> </w:t>
      </w:r>
      <m:oMath>
        <m:r>
          <m:t>≥</m:t>
        </m:r>
      </m:oMath>
      <w:r>
        <w:t xml:space="preserve"> </w:t>
      </w:r>
      <w:r>
        <w:t xml:space="preserve">10 cm</w:t>
      </w:r>
      <w:r>
        <w:t xml:space="preserve"> </w:t>
      </w:r>
      <m:oMath>
        <m:r>
          <m:t>D</m:t>
        </m:r>
        <m:r>
          <m:t>B</m:t>
        </m:r>
        <m:r>
          <m:t>H</m:t>
        </m:r>
      </m:oMath>
      <w:r>
        <w:t xml:space="preserve">, including a randomly sampled subset of all dominant species within the ForestGEO plot</w:t>
      </w:r>
      <w:r>
        <w:t xml:space="preserve"> </w:t>
      </w:r>
      <w:r>
        <w:t xml:space="preserve">(live trees in 2010-2011;</w:t>
      </w:r>
      <w:r>
        <w:t xml:space="preserve"> </w:t>
      </w:r>
      <w:r>
        <w:rPr>
          <w:b/>
        </w:rPr>
        <w:t xml:space="preserve">???</w:t>
      </w:r>
      <w:r>
        <w:t xml:space="preserve">)</w:t>
      </w:r>
      <w:r>
        <w:t xml:space="preserve"> </w:t>
      </w:r>
      <w:r>
        <w:t xml:space="preserve">and trees found newly dead in annual tree mortality in 2016 and 2017</w:t>
      </w:r>
      <w:r>
        <w:t xml:space="preserve"> </w:t>
      </w:r>
      <w:r>
        <w:t xml:space="preserve">(</w:t>
      </w:r>
      <w:r>
        <w:rPr>
          <w:b/>
        </w:rPr>
        <w:t xml:space="preserve">???</w:t>
      </w:r>
      <w:r>
        <w:t xml:space="preserve">)</w:t>
      </w:r>
      <w:r>
        <w:t xml:space="preserve">.</w:t>
      </w:r>
      <w:r>
        <w:t xml:space="preserve"> </w:t>
      </w:r>
      <w:r>
        <w:t xml:space="preserve">At Harvard Forest, …(</w:t>
      </w:r>
      <w:r>
        <w:rPr>
          <w:i/>
        </w:rPr>
        <w:t xml:space="preserve">Neil can write this easily, or KAT probably has the info</w:t>
      </w:r>
      <w:r>
        <w:t xml:space="preserve">)</w:t>
      </w:r>
      <w:r>
        <w:t xml:space="preserve"> </w:t>
      </w:r>
      <w:r>
        <w:t xml:space="preserve">In total, we analyzed 0 cores from eleven species at SCBI and three species at Harvard Forest (Table 2).</w:t>
      </w:r>
    </w:p>
    <w:p>
      <w:pPr>
        <w:pStyle w:val="BodyText"/>
      </w:pPr>
      <w:r>
        <w:t xml:space="preserve">All cores were mounted, sanded, cross-dated, and measured using standard methodology.</w:t>
      </w:r>
      <w:r>
        <w:t xml:space="preserve"> </w:t>
      </w:r>
      <w:r>
        <w:t xml:space="preserve">(</w:t>
      </w:r>
      <w:r>
        <w:rPr>
          <w:i/>
        </w:rPr>
        <w:t xml:space="preserve">describe chronology building– as in</w:t>
      </w:r>
      <w:r>
        <w:rPr>
          <w:i/>
        </w:rPr>
        <w:t xml:space="preserve"> </w:t>
      </w:r>
      <w:r>
        <w:rPr>
          <w:i/>
        </w:rPr>
        <w:t xml:space="preserve">(</w:t>
      </w:r>
      <w:r>
        <w:rPr>
          <w:b/>
          <w:i/>
        </w:rPr>
        <w:t xml:space="preserve">???</w:t>
      </w:r>
      <w:r>
        <w:rPr>
          <w:i/>
        </w:rPr>
        <w:t xml:space="preserve">)</w:t>
      </w:r>
      <w:r>
        <w:rPr>
          <w:i/>
        </w:rPr>
        <w:t xml:space="preserve">– Neil can do this quickly</w:t>
      </w:r>
      <w:r>
        <w:t xml:space="preserve">)</w:t>
      </w:r>
      <w:r>
        <w:t xml:space="preserve"> </w:t>
      </w:r>
      <w:r>
        <w:t xml:space="preserve">Start year was defined at SSS=0.8.</w:t>
      </w:r>
    </w:p>
    <w:bookmarkEnd w:id="34"/>
    <w:bookmarkStart w:id="37" w:name="climate"/>
    <w:p>
      <w:pPr>
        <w:pStyle w:val="Heading3"/>
      </w:pPr>
      <w:r>
        <w:t xml:space="preserve">Climate</w:t>
      </w:r>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w:t>
      </w:r>
      <w:r>
        <w:t xml:space="preserve"> </w:t>
      </w:r>
      <w:r>
        <w:t xml:space="preserve">(</w:t>
      </w:r>
      <w:hyperlink r:id="rId35">
        <w:r>
          <w:rPr>
            <w:rStyle w:val="Hyperlink"/>
          </w:rPr>
          <w:t xml:space="preserve">https://forestgeo.github.io/Climate/</w:t>
        </w:r>
      </w:hyperlink>
      <w:r>
        <w:t xml:space="preserve">;</w:t>
      </w:r>
      <w:r>
        <w:t xml:space="preserve"> </w:t>
      </w:r>
      <w:r>
        <w:rPr>
          <w:b/>
        </w:rPr>
        <w:t xml:space="preserve">???</w:t>
      </w:r>
      <w:r>
        <w:t xml:space="preserve">)</w:t>
      </w:r>
      <w:r>
        <w:t xml:space="preserve">.</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36">
        <w:r>
          <w:rPr>
            <w:rStyle w:val="Hyperlink"/>
          </w:rPr>
          <w:t xml:space="preserve">https://www.ncdc.noaa.gov/cdo-web/datasets/GHCND/stations/GHCND:USC00443229/detail</w:t>
        </w:r>
      </w:hyperlink>
      <w:r>
        <w:t xml:space="preserve">).</w:t>
      </w:r>
      <w:r>
        <w:t xml:space="preserve"> </w:t>
      </w:r>
      <w:r>
        <w:t xml:space="preserve">(</w:t>
      </w:r>
      <w:r>
        <w:rPr>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t xml:space="preserve"> </w:t>
      </w:r>
      <w:r>
        <w:t xml:space="preserve">(</w:t>
      </w:r>
      <w:r>
        <w:rPr>
          <w:b/>
        </w:rPr>
        <w:t xml:space="preserve">???</w:t>
      </w:r>
      <w:r>
        <w:t xml:space="preserve">)</w:t>
      </w:r>
      <w:r>
        <w:t xml:space="preserve">, again via the ForestGEO Climate Data Portal v1.0</w:t>
      </w:r>
      <w:r>
        <w:t xml:space="preserve"> </w:t>
      </w:r>
      <w:r>
        <w:t xml:space="preserve">(</w:t>
      </w:r>
      <w:r>
        <w:rPr>
          <w:b/>
        </w:rPr>
        <w:t xml:space="preserve">???</w:t>
      </w:r>
      <w:r>
        <w:t xml:space="preserve">)</w:t>
      </w:r>
      <w:r>
        <w:t xml:space="preserve">.</w:t>
      </w:r>
    </w:p>
    <w:bookmarkEnd w:id="37"/>
    <w:bookmarkEnd w:id="38"/>
    <w:bookmarkStart w:id="39" w:name="climwin"/>
    <w:p>
      <w:pPr>
        <w:pStyle w:val="Heading2"/>
      </w:pPr>
      <w:r>
        <w:t xml:space="preserve">(Climwin)</w:t>
      </w:r>
    </w:p>
    <w:p>
      <w:pPr>
        <w:pStyle w:val="FirstParagraph"/>
      </w:pPr>
      <w:r>
        <w:t xml:space="preserve">The period where the phenology milestone(s) were most affected by changes in early spring temperature was determined using the R package Climwin. This package tests the correlation between climate variables (</w:t>
      </w:r>
      <m:oMath>
        <m:sSub>
          <m:e>
            <m:r>
              <m:t>T</m:t>
            </m:r>
          </m:e>
          <m:sub>
            <m:r>
              <m:t>M</m:t>
            </m:r>
            <m:r>
              <m:t>A</m:t>
            </m:r>
            <m:r>
              <m:t>X</m:t>
            </m:r>
          </m:sub>
        </m:sSub>
      </m:oMath>
      <w:r>
        <w:t xml:space="preserve">) and biological variables (DOY, max rate DOY, total growth) within a specified time-frame, reporting correlation and delta AIC’s of each</w:t>
      </w:r>
      <w:r>
        <w:t xml:space="preserve"> </w:t>
      </w:r>
      <w:r>
        <w:t xml:space="preserve">‘</w:t>
      </w:r>
      <w:r>
        <w:t xml:space="preserve">window</w:t>
      </w:r>
      <w:r>
        <w:t xml:space="preserve">’</w:t>
      </w:r>
      <w:r>
        <w:t xml:space="preserve">. as the best-model. We instructed Climwin to search for the best window beginning at February 1st and ending at the mean DOY for each phenology variable (chart in SI?). This was done to find corresponding (median of 95% CI window open and close) start and end dates for the analysis of ring-porous and diffuse-porous trees, as well as all trees pooled together.</w:t>
      </w:r>
    </w:p>
    <w:bookmarkEnd w:id="39"/>
    <w:bookmarkStart w:id="40" w:name="hypothesis-testing"/>
    <w:p>
      <w:pPr>
        <w:pStyle w:val="Heading2"/>
      </w:pPr>
      <w:r>
        <w:t xml:space="preserve">Hypothesis testing</w:t>
      </w:r>
    </w:p>
    <w:p>
      <w:pPr>
        <w:pStyle w:val="FirstParagraph"/>
      </w:pPr>
      <w:r>
        <w:t xml:space="preserve">Correlation between these variables and spring temperatures over the 15 year study period (1998-2003; 2011-2019) were assessed using a linear mixed model in a heriarchal bayesian framework.</w:t>
      </w:r>
    </w:p>
    <w:p>
      <w:pPr>
        <w:pStyle w:val="BodyText"/>
      </w:pPr>
      <w:r>
        <w:t xml:space="preserve">Notes for now:</w:t>
      </w:r>
    </w:p>
    <w:p>
      <w:pPr>
        <w:numPr>
          <w:ilvl w:val="0"/>
          <w:numId w:val="1003"/>
        </w:numPr>
        <w:pStyle w:val="Compact"/>
      </w:pPr>
      <w:r>
        <w:t xml:space="preserve">The multivariate model for</w:t>
      </w:r>
      <w:r>
        <w:t xml:space="preserve"> </w:t>
      </w:r>
      <m:oMath>
        <m:r>
          <m:t>(</m:t>
        </m:r>
        <m:r>
          <m:t>D</m:t>
        </m:r>
        <m:r>
          <m:t>O</m:t>
        </m:r>
        <m:sSub>
          <m:e>
            <m:r>
              <m:t>Y</m:t>
            </m:r>
          </m:e>
          <m:sub>
            <m:r>
              <m:t>25</m:t>
            </m:r>
          </m:sub>
        </m:sSub>
        <m:r>
          <m:t>,</m:t>
        </m:r>
        <m:r>
          <m:t>D</m:t>
        </m:r>
        <m:r>
          <m:t>O</m:t>
        </m:r>
        <m:sSub>
          <m:e>
            <m:r>
              <m:t>Y</m:t>
            </m:r>
          </m:e>
          <m:sub>
            <m:r>
              <m:t>50</m:t>
            </m:r>
          </m:sub>
        </m:sSub>
        <m:r>
          <m:t>,</m:t>
        </m:r>
        <m:r>
          <m:t>D</m:t>
        </m:r>
        <m:r>
          <m:t>O</m:t>
        </m:r>
        <m:sSub>
          <m:e>
            <m:r>
              <m:t>Y</m:t>
            </m:r>
          </m:e>
          <m:sub>
            <m:r>
              <m:t>75</m:t>
            </m:r>
          </m:sub>
        </m:sSub>
        <m:r>
          <m:t>)</m:t>
        </m:r>
      </m:oMath>
      <w:r>
        <w:t xml:space="preserve"> </w:t>
      </w:r>
      <w:r>
        <w:t xml:space="preserve">has:</w:t>
      </w:r>
    </w:p>
    <w:p>
      <w:pPr>
        <w:numPr>
          <w:ilvl w:val="1"/>
          <w:numId w:val="1004"/>
        </w:numPr>
        <w:pStyle w:val="Compact"/>
      </w:pPr>
      <w:r>
        <w:t xml:space="preserve">Fixed effects: The interaction between wood type (diffuse vs ring porous) and climwin mean</w:t>
      </w:r>
    </w:p>
    <w:p>
      <w:pPr>
        <w:numPr>
          <w:ilvl w:val="1"/>
          <w:numId w:val="1004"/>
        </w:numPr>
        <w:pStyle w:val="Compact"/>
      </w:pPr>
      <w:r>
        <w:t xml:space="preserve">Random effects: tag number (no species just yet)</w:t>
      </w:r>
    </w:p>
    <w:p>
      <w:pPr>
        <w:pStyle w:val="FirstParagraph"/>
      </w:pPr>
      <w:r>
        <w:t xml:space="preserve">-Mixed effect model</w:t>
      </w:r>
    </w:p>
    <w:p>
      <w:pPr>
        <w:pStyle w:val="BodyText"/>
      </w:pPr>
      <w:r>
        <w:t xml:space="preserve">A mixed effect model was used to test the response of wood phenology variables (25% DOY, 50% DOY, 75% DOY, max-rate, max-rate DOY, total growth) to fixed effects of wood-type and spring temperature, along with random effects of species and tag. We ran two separate models of each wood phenology variable for each of our major wood-types, and one combined model to use for comparison. Models were run using the LME4 package in R (Bates, D., Mächler, M., Bolker, B. &amp; Walker, S. (2015). Fitting linear mixed‐effects models using lme4. J. Stat. Softw., 67, 1–48.)</w:t>
      </w:r>
    </w:p>
    <w:p>
      <w:pPr>
        <w:pStyle w:val="BodyText"/>
      </w:pPr>
      <w:r>
        <w:t xml:space="preserve">• Bayesian heirarchical model</w:t>
      </w:r>
      <w:r>
        <w:t xml:space="preserve"> </w:t>
      </w: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40"/>
    <w:bookmarkEnd w:id="41"/>
    <w:bookmarkStart w:id="53" w:name="results"/>
    <w:p>
      <w:pPr>
        <w:pStyle w:val="Heading1"/>
      </w:pPr>
      <w:r>
        <w:t xml:space="preserve">Results</w:t>
      </w:r>
    </w:p>
    <w:bookmarkStart w:id="44" w:name="phenological-patterns"/>
    <w:p>
      <w:pPr>
        <w:pStyle w:val="Heading2"/>
      </w:pPr>
      <w:r>
        <w:t xml:space="preserve">Phenological patterns</w:t>
      </w:r>
    </w:p>
    <w:p>
      <w:pPr>
        <w:pStyle w:val="FirstParagraph"/>
      </w:pPr>
      <w:r>
        <w:t xml:space="preserve">Across all trees and years at SCBI,</w:t>
      </w:r>
      <w:r>
        <w:t xml:space="preserve"> </w:t>
      </w:r>
      <w:r>
        <w:t xml:space="preserve">25% of annual growth was achieved on May 20 (</w:t>
      </w:r>
      <m:oMath>
        <m:r>
          <m:t>D</m:t>
        </m:r>
        <m:r>
          <m:t>O</m:t>
        </m:r>
        <m:sSub>
          <m:e>
            <m:r>
              <m:t>Y</m:t>
            </m:r>
          </m:e>
          <m:sub>
            <m:r>
              <m:t>25</m:t>
            </m:r>
          </m:sub>
        </m:sSub>
      </m:oMath>
      <w:r>
        <w:t xml:space="preserve">=139),</w:t>
      </w:r>
      <w:r>
        <w:t xml:space="preserve"> </w:t>
      </w:r>
      <w:r>
        <w:t xml:space="preserve">50% on June 12 (</w:t>
      </w:r>
      <m:oMath>
        <m:r>
          <m:t>D</m:t>
        </m:r>
        <m:r>
          <m:t>O</m:t>
        </m:r>
        <m:sSub>
          <m:e>
            <m:r>
              <m:t>Y</m:t>
            </m:r>
          </m:e>
          <m:sub>
            <m:r>
              <m:t>50</m:t>
            </m:r>
          </m:sub>
        </m:sSub>
      </m:oMath>
      <w:r>
        <w:t xml:space="preserve">=162),</w:t>
      </w:r>
      <w:r>
        <w:t xml:space="preserve"> </w:t>
      </w:r>
      <w:r>
        <w:t xml:space="preserve">and 75% on July 5 (</w:t>
      </w:r>
      <m:oMath>
        <m:r>
          <m:t>D</m:t>
        </m:r>
        <m:r>
          <m:t>O</m:t>
        </m:r>
        <m:sSub>
          <m:e>
            <m:r>
              <m:t>Y</m:t>
            </m:r>
          </m:e>
          <m:sub>
            <m:r>
              <m:t>75</m:t>
            </m:r>
          </m:sub>
        </m:sSub>
      </m:oMath>
      <w:r>
        <w:t xml:space="preserve">=185),</w:t>
      </w:r>
      <w:r>
        <w:t xml:space="preserve"> </w:t>
      </w:r>
      <w:r>
        <w:t xml:space="preserve">for an average peak growing season length of 45 days.</w:t>
      </w:r>
      <w:r>
        <w:t xml:space="preserve"> </w:t>
      </w:r>
      <w:r>
        <w:t xml:space="preserve">Maximum growth rate occurred just one day after</w:t>
      </w:r>
      <w:r>
        <w:t xml:space="preserve"> </w:t>
      </w:r>
      <m:oMath>
        <m:r>
          <m:t>D</m:t>
        </m:r>
        <m:r>
          <m:t>O</m:t>
        </m:r>
        <m:sSub>
          <m:e>
            <m:r>
              <m:t>Y</m:t>
            </m:r>
          </m:e>
          <m:sub>
            <m:r>
              <m:t>50</m:t>
            </m:r>
          </m:sub>
        </m:sSub>
      </m:oMath>
      <w:r>
        <w:t xml:space="preserve"> </w:t>
      </w:r>
      <w:r>
        <w:t xml:space="preserve">on June 13 (</w:t>
      </w:r>
      <m:oMath>
        <m:r>
          <m:t>D</m:t>
        </m:r>
        <m:r>
          <m:t>O</m:t>
        </m:r>
        <m:sSub>
          <m:e>
            <m:r>
              <m:t>Y</m:t>
            </m:r>
          </m:e>
          <m:sub>
            <m:r>
              <m:t>m</m:t>
            </m:r>
            <m:r>
              <m:t>a</m:t>
            </m:r>
            <m:r>
              <m:t>x</m:t>
            </m:r>
          </m:sub>
        </m:sSub>
      </m:oMath>
      <w:r>
        <w:t xml:space="preserve">=163).</w:t>
      </w:r>
      <w:r>
        <w:t xml:space="preserve"> </w:t>
      </w:r>
      <w:r>
        <w:t xml:space="preserve">At Harvard Forest,</w:t>
      </w:r>
      <w:r>
        <w:t xml:space="preserve"> </w:t>
      </w:r>
      <w:r>
        <w:t xml:space="preserve">25% of annual growth was achieved on June 1 (</w:t>
      </w:r>
      <m:oMath>
        <m:r>
          <m:t>D</m:t>
        </m:r>
        <m:r>
          <m:t>O</m:t>
        </m:r>
        <m:sSub>
          <m:e>
            <m:r>
              <m:t>Y</m:t>
            </m:r>
          </m:e>
          <m:sub>
            <m:r>
              <m:t>25</m:t>
            </m:r>
          </m:sub>
        </m:sSub>
      </m:oMath>
      <w:r>
        <w:t xml:space="preserve">=151),</w:t>
      </w:r>
      <w:r>
        <w:t xml:space="preserve"> </w:t>
      </w:r>
      <w:r>
        <w:t xml:space="preserve">50% on June 23 (</w:t>
      </w:r>
      <m:oMath>
        <m:r>
          <m:t>D</m:t>
        </m:r>
        <m:r>
          <m:t>O</m:t>
        </m:r>
        <m:sSub>
          <m:e>
            <m:r>
              <m:t>Y</m:t>
            </m:r>
          </m:e>
          <m:sub>
            <m:r>
              <m:t>50</m:t>
            </m:r>
          </m:sub>
        </m:sSub>
      </m:oMath>
      <w:r>
        <w:t xml:space="preserve">=173),</w:t>
      </w:r>
      <w:r>
        <w:t xml:space="preserve"> </w:t>
      </w:r>
      <w:r>
        <w:t xml:space="preserve">and 75% on July 14 (</w:t>
      </w:r>
      <m:oMath>
        <m:r>
          <m:t>D</m:t>
        </m:r>
        <m:r>
          <m:t>O</m:t>
        </m:r>
        <m:sSub>
          <m:e>
            <m:r>
              <m:t>Y</m:t>
            </m:r>
          </m:e>
          <m:sub>
            <m:r>
              <m:t>75</m:t>
            </m:r>
          </m:sub>
        </m:sSub>
      </m:oMath>
      <w:r>
        <w:t xml:space="preserve">=194),</w:t>
      </w:r>
      <w:r>
        <w:t xml:space="preserve"> </w:t>
      </w:r>
      <w:r>
        <w:t xml:space="preserve">for an average peak growing season length of 43 days.</w:t>
      </w:r>
      <w:r>
        <w:t xml:space="preserve"> </w:t>
      </w:r>
      <w:r>
        <w:t xml:space="preserve">Maximum growth rate occurred on June 24 (</w:t>
      </w:r>
      <m:oMath>
        <m:r>
          <m:t>D</m:t>
        </m:r>
        <m:r>
          <m:t>O</m:t>
        </m:r>
        <m:sSub>
          <m:e>
            <m:r>
              <m:t>Y</m:t>
            </m:r>
          </m:e>
          <m:sub>
            <m:r>
              <m:t>m</m:t>
            </m:r>
            <m:r>
              <m:t>a</m:t>
            </m:r>
            <m:r>
              <m:t>x</m:t>
            </m:r>
          </m:sub>
        </m:sSub>
      </m:oMath>
      <w:r>
        <w:t xml:space="preserve">=174).</w:t>
      </w:r>
    </w:p>
    <w:p>
      <w:pPr>
        <w:pStyle w:val="BodyText"/>
      </w:pPr>
      <w:r>
        <w:t xml:space="preserve">At both sites, growth phenology differed between ring- and diffuse- porous species (Fig. 2, Table 3).</w:t>
      </w:r>
      <w:r>
        <w:t xml:space="preserve"> </w:t>
      </w:r>
      <w:r>
        <w:t xml:space="preserve">Specifically, ring-porous species began growing earlier, reaching the</w:t>
      </w:r>
      <w:r>
        <w:t xml:space="preserve"> </w:t>
      </w:r>
      <m:oMath>
        <m:r>
          <m:t>D</m:t>
        </m:r>
        <m:r>
          <m:t>O</m:t>
        </m:r>
        <m:sSub>
          <m:e>
            <m:r>
              <m:t>Y</m:t>
            </m:r>
          </m:e>
          <m:sub>
            <m:r>
              <m:t>25</m:t>
            </m:r>
          </m:sub>
        </m:sSub>
      </m:oMath>
      <w:r>
        <w:t xml:space="preserve"> </w:t>
      </w:r>
      <w:r>
        <w:t xml:space="preserve">benchmark 31 days earlier at SCBI and 32 days earlier at Harvard Forest.</w:t>
      </w:r>
      <w:r>
        <w:t xml:space="preserve"> </w:t>
      </w:r>
      <w:r>
        <w:t xml:space="preserve">Growth of ring-porous species was spread out over a longer growing season, with average</w:t>
      </w:r>
      <w:r>
        <w:t xml:space="preserve"> </w:t>
      </w:r>
      <m:oMath>
        <m:sSub>
          <m:e>
            <m:r>
              <m:t>L</m:t>
            </m:r>
          </m:e>
          <m:sub>
            <m:r>
              <m:t>P</m:t>
            </m:r>
            <m:r>
              <m:t>G</m:t>
            </m:r>
            <m:r>
              <m:t>S</m:t>
            </m:r>
          </m:sub>
        </m:sSub>
      </m:oMath>
      <w:r>
        <w:t xml:space="preserve"> </w:t>
      </w:r>
      <w:r>
        <w:t xml:space="preserve">of ring-porous species being</w:t>
      </w:r>
      <w:r>
        <w:t xml:space="preserve"> </w:t>
      </w:r>
      <w:r>
        <w:rPr>
          <w:b/>
        </w:rPr>
        <w:t xml:space="preserve">21</w:t>
      </w:r>
      <w:r>
        <w:t xml:space="preserve"> </w:t>
      </w:r>
      <w:r>
        <w:t xml:space="preserve">days longer at SCBI and</w:t>
      </w:r>
      <w:r>
        <w:t xml:space="preserve"> </w:t>
      </w:r>
      <w:r>
        <w:rPr>
          <w:b/>
        </w:rPr>
        <w:t xml:space="preserve">19</w:t>
      </w:r>
      <w:r>
        <w:t xml:space="preserve"> </w:t>
      </w:r>
      <w:r>
        <w:t xml:space="preserve">days longer at Harvard Forest.</w:t>
      </w:r>
      <w:r>
        <w:t xml:space="preserve"> </w:t>
      </w:r>
      <w:r>
        <w:rPr>
          <w:i/>
        </w:rPr>
        <w:t xml:space="preserve">(These numbers are calculated as based on</w:t>
      </w:r>
      <w:r>
        <w:rPr>
          <w:i/>
        </w:rPr>
        <w:t xml:space="preserve"> </w:t>
      </w:r>
      <w:r>
        <w:rPr>
          <w:rStyle w:val="VerbatimChar"/>
          <w:i/>
        </w:rPr>
        <w:t xml:space="preserve">mean DOY75- mean DOY25</w:t>
      </w:r>
      <w:r>
        <w:rPr>
          <w:i/>
        </w:rPr>
        <w:t xml:space="preserve">, whereas we want</w:t>
      </w:r>
      <w:r>
        <w:rPr>
          <w:i/>
        </w:rPr>
        <w:t xml:space="preserve"> </w:t>
      </w:r>
      <w:r>
        <w:rPr>
          <w:rStyle w:val="VerbatimChar"/>
          <w:i/>
        </w:rPr>
        <w:t xml:space="preserve">mean [DOY75- DOY25]</w:t>
      </w:r>
      <w:r>
        <w:rPr>
          <w:i/>
        </w:rPr>
        <w:t xml:space="preserve">. Need to fix this, but I filled in approximate numbers for now.)</w:t>
      </w:r>
    </w:p>
    <w:p>
      <w:pPr>
        <w:pStyle w:val="CaptionedFigure"/>
      </w:pPr>
      <w:r>
        <w:drawing>
          <wp:inline>
            <wp:extent cx="5334000" cy="2667000"/>
            <wp:effectExtent b="0" l="0" r="0" t="0"/>
            <wp:docPr descr="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 Growth trajectories for ring- and diffuse-porous trees, as both relative and cumulative fractions of total annual growth. Each line represents one year’s growth for a given tree, fit with McMahon model.</w:t>
      </w:r>
    </w:p>
    <w:p>
      <w:pPr>
        <w:pStyle w:val="BodyText"/>
      </w:pPr>
      <w:r>
        <w:drawing>
          <wp:inline>
            <wp:extent cx="5334000" cy="2407615"/>
            <wp:effectExtent b="0" l="0" r="0" t="0"/>
            <wp:docPr descr="" title="" id="1" name="Picture"/>
            <a:graphic>
              <a:graphicData uri="http://schemas.openxmlformats.org/drawingml/2006/picture">
                <pic:pic>
                  <pic:nvPicPr>
                    <pic:cNvPr descr="tables_figures/mean_growth_parameters_table.png" id="0" name="Picture"/>
                    <pic:cNvPicPr>
                      <a:picLocks noChangeArrowheads="1" noChangeAspect="1"/>
                    </pic:cNvPicPr>
                  </pic:nvPicPr>
                  <pic:blipFill>
                    <a:blip r:embed="rId43"/>
                    <a:stretch>
                      <a:fillRect/>
                    </a:stretch>
                  </pic:blipFill>
                  <pic:spPr bwMode="auto">
                    <a:xfrm>
                      <a:off x="0" y="0"/>
                      <a:ext cx="5334000" cy="2407615"/>
                    </a:xfrm>
                    <a:prstGeom prst="rect">
                      <a:avLst/>
                    </a:prstGeom>
                    <a:noFill/>
                    <a:ln w="9525">
                      <a:noFill/>
                      <a:headEnd/>
                      <a:tailEnd/>
                    </a:ln>
                  </pic:spPr>
                </pic:pic>
              </a:graphicData>
            </a:graphic>
          </wp:inline>
        </w:drawing>
      </w:r>
    </w:p>
    <w:bookmarkEnd w:id="44"/>
    <w:bookmarkStart w:id="47" w:name="optimal-climate-windows"/>
    <w:p>
      <w:pPr>
        <w:pStyle w:val="Heading2"/>
      </w:pPr>
      <w:r>
        <w:t xml:space="preserve">Optimal climate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neutral negative relationship between temperature and</w:t>
      </w:r>
      <w:r>
        <w:t xml:space="preserve"> </w:t>
      </w:r>
      <m:oMath>
        <m:r>
          <m:t>D</m:t>
        </m:r>
        <m:r>
          <m:t>O</m:t>
        </m:r>
        <m:sSub>
          <m:e>
            <m:r>
              <m:t>Y</m:t>
            </m:r>
          </m:e>
          <m:sub>
            <m:r>
              <m:t>25</m:t>
            </m:r>
          </m:sub>
        </m:sSub>
      </m:oMath>
      <w:r>
        <w:t xml:space="preserve">, meaning that warmer temperatures shifted growth earlier in the season (Figs. 3, S1-S4).</w:t>
      </w:r>
      <w:r>
        <w:t xml:space="preserve"> </w:t>
      </w:r>
      <w:r>
        <w:t xml:space="preserve">This held true for both ring- and diffuse-porous trees at both sites.</w:t>
      </w:r>
      <w:r>
        <w:t xml:space="preserve"> </w:t>
      </w:r>
      <w:r>
        <w:t xml:space="preserve">The strongest relationships, including but not limited to the optimal time windows (Table 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r>
        <w:t xml:space="preserve"> </w:t>
      </w:r>
      <w:r>
        <w:t xml:space="preserve">(In general, there were significant negative relationships between temperature and</w:t>
      </w:r>
      <w:r>
        <w:t xml:space="preserve"> </w:t>
      </w:r>
      <m:oMath>
        <m:r>
          <m:t>D</m:t>
        </m:r>
        <m:r>
          <m:t>O</m:t>
        </m:r>
        <m:sSub>
          <m:e>
            <m:r>
              <m:t>Y</m:t>
            </m:r>
          </m:e>
          <m:sub>
            <m:r>
              <m:t>25</m:t>
            </m:r>
          </m:sub>
        </m:sSub>
      </m:oMath>
      <w:r>
        <w:t xml:space="preserve"> </w:t>
      </w:r>
      <w:r>
        <w:t xml:space="preserve">for any time period beginning</w:t>
      </w:r>
      <w:r>
        <w:t xml:space="preserve"> </w:t>
      </w:r>
      <m:oMath>
        <m:r>
          <m:t>≥</m:t>
        </m:r>
      </m:oMath>
      <w:r>
        <w:t xml:space="preserve"> </w:t>
      </w:r>
      <w:r>
        <w:rPr>
          <w:b/>
        </w:rPr>
        <w:t xml:space="preserve">5</w:t>
      </w:r>
      <w:r>
        <w:t xml:space="preserve"> </w:t>
      </w:r>
      <w:r>
        <w:t xml:space="preserve">weeks prior to</w:t>
      </w:r>
      <w:r>
        <w:t xml:space="preserve"> </w:t>
      </w:r>
      <m:oMath>
        <m:r>
          <m:t>D</m:t>
        </m:r>
        <m:r>
          <m:t>O</m:t>
        </m:r>
        <m:sSub>
          <m:e>
            <m:r>
              <m:t>Y</m:t>
            </m:r>
          </m:e>
          <m:sub>
            <m:r>
              <m:t>25</m:t>
            </m:r>
          </m:sub>
        </m:sSub>
      </m:oMath>
      <w:r>
        <w:t xml:space="preserve">, ending</w:t>
      </w:r>
      <w:r>
        <w:t xml:space="preserve"> </w:t>
      </w:r>
      <m:oMath>
        <m:r>
          <m:t>≤</m:t>
        </m:r>
      </m:oMath>
      <w:r>
        <w:t xml:space="preserve"> </w:t>
      </w:r>
      <w:r>
        <w:rPr>
          <w:b/>
        </w:rPr>
        <w:t xml:space="preserve">8-20</w:t>
      </w:r>
      <w:r>
        <w:t xml:space="preserve"> </w:t>
      </w:r>
      <w:r>
        <w:t xml:space="preserve">weeks prior depending on wood-type and site, and covering at least a</w:t>
      </w:r>
      <w:r>
        <w:t xml:space="preserve"> </w:t>
      </w:r>
      <w:r>
        <w:rPr>
          <w:b/>
        </w:rPr>
        <w:t xml:space="preserve">3</w:t>
      </w:r>
      <w:r>
        <w:t xml:space="preserve">-week period ( S1-S4).</w:t>
      </w:r>
      <w:r>
        <w:t xml:space="preserve"> </w:t>
      </w:r>
      <w:r>
        <w:t xml:space="preserve">Relationships tended to be weaker and more stochastic in sign for short time periods, particularly those just prior to</w:t>
      </w:r>
      <w:r>
        <w:t xml:space="preserve"> </w:t>
      </w:r>
      <m:oMath>
        <m:r>
          <m:t>D</m:t>
        </m:r>
        <m:r>
          <m:t>O</m:t>
        </m:r>
        <m:sSub>
          <m:e>
            <m:r>
              <m:t>Y</m:t>
            </m:r>
          </m:e>
          <m:sub>
            <m:r>
              <m:t>25</m:t>
            </m:r>
          </m:sub>
        </m:sSub>
      </m:oMath>
      <w:r>
        <w:t xml:space="preserve">.)</w:t>
      </w:r>
      <w:r>
        <w:t xml:space="preserve"> </w:t>
      </w:r>
      <w:r>
        <w:t xml:space="preserve">(</w:t>
      </w:r>
      <w:r>
        <w:rPr>
          <w:b/>
        </w:rPr>
        <w:t xml:space="preserve">Cameron, I’m not sure if the above text is up-to-date… Also, see</w:t>
      </w:r>
      <w:r>
        <w:rPr>
          <w:b/>
        </w:rPr>
        <w:t xml:space="preserve"> </w:t>
      </w:r>
      <w:hyperlink r:id="rId45">
        <w:r>
          <w:rPr>
            <w:rStyle w:val="Hyperlink"/>
            <w:b/>
          </w:rPr>
          <w:t xml:space="preserve">issue 34</w:t>
        </w:r>
      </w:hyperlink>
      <w:r>
        <w:t xml:space="preserve"> </w:t>
      </w:r>
      <w:r>
        <w:t xml:space="preserve">)</w:t>
      </w:r>
    </w:p>
    <w:p>
      <w:pPr>
        <w:pStyle w:val="CaptionedFigure"/>
      </w:pPr>
      <w:r>
        <w:drawing>
          <wp:inline>
            <wp:extent cx="5334000" cy="8001000"/>
            <wp:effectExtent b="0" l="0" r="0" t="0"/>
            <wp:docPr descr="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 title="" id="1" name="Picture"/>
            <a:graphic>
              <a:graphicData uri="http://schemas.openxmlformats.org/drawingml/2006/picture">
                <pic:pic>
                  <pic:nvPicPr>
                    <pic:cNvPr descr="tables_figures/climwin_figure.png" id="0" name="Picture"/>
                    <pic:cNvPicPr>
                      <a:picLocks noChangeArrowheads="1" noChangeAspect="1"/>
                    </pic:cNvPicPr>
                  </pic:nvPicPr>
                  <pic:blipFill>
                    <a:blip r:embed="rId46"/>
                    <a:stretch>
                      <a:fillRect/>
                    </a:stretch>
                  </pic:blipFill>
                  <pic:spPr bwMode="auto">
                    <a:xfrm>
                      <a:off x="0" y="0"/>
                      <a:ext cx="5334000" cy="8001000"/>
                    </a:xfrm>
                    <a:prstGeom prst="rect">
                      <a:avLst/>
                    </a:prstGeom>
                    <a:noFill/>
                    <a:ln w="9525">
                      <a:noFill/>
                      <a:headEnd/>
                      <a:tailEnd/>
                    </a:ln>
                  </pic:spPr>
                </pic:pic>
              </a:graphicData>
            </a:graphic>
          </wp:inline>
        </w:drawing>
      </w:r>
    </w:p>
    <w:p>
      <w:pPr>
        <w:pStyle w:val="ImageCaption"/>
      </w:pPr>
      <w:r>
        <w:t xml:space="preserve">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w:t>
      </w:r>
    </w:p>
    <w:bookmarkEnd w:id="47"/>
    <w:bookmarkStart w:id="50" w:name="climate-sensitivity-of-phenology"/>
    <w:p>
      <w:pPr>
        <w:pStyle w:val="Heading2"/>
      </w:pPr>
      <w:r>
        <w:t xml:space="preserve">Climate sensitivity of phenology</w:t>
      </w:r>
    </w:p>
    <w:p>
      <w:pPr>
        <w:pStyle w:val="FirstParagraph"/>
      </w:pPr>
      <w:r>
        <w:t xml:space="preserve">For both ring- and diffuse- porous species at both sites, warmer spring temperatures resulted in earlier achievement of growth milestones (Tables 1, Figs. 4, 5).</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g</m:t>
            </m:r>
            <m:r>
              <m:t>.</m:t>
            </m:r>
            <m:r>
              <m:t>m</m:t>
            </m:r>
            <m:r>
              <m:t>a</m:t>
            </m:r>
            <m:r>
              <m:t>x</m:t>
            </m:r>
          </m:sub>
        </m:sSub>
      </m:oMath>
      <w:r>
        <w:t xml:space="preserve"> </w:t>
      </w:r>
      <w:r>
        <w:t xml:space="preserve">at SCBI and</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Harvard Forest all decreased significantly with increasing</w:t>
      </w:r>
      <w:r>
        <w:t xml:space="preserve"> </w:t>
      </w:r>
      <m:oMath>
        <m:sSub>
          <m:e>
            <m:r>
              <m:t>T</m:t>
            </m:r>
          </m:e>
          <m:sub>
            <m:r>
              <m:t>m</m:t>
            </m:r>
            <m:r>
              <m:t>a</m:t>
            </m:r>
            <m:r>
              <m:t>x</m:t>
            </m:r>
          </m:sub>
        </m:sSub>
      </m:oMath>
      <w:r>
        <w:t xml:space="preserve"> </w:t>
      </w:r>
      <w:r>
        <w:t xml:space="preserve">during the critical period (Table 3).</w:t>
      </w:r>
    </w:p>
    <w:p>
      <w:pPr>
        <w:pStyle w:val="CaptionedFigure"/>
      </w:pPr>
      <w:r>
        <w:drawing>
          <wp:inline>
            <wp:extent cx="5334000" cy="8890000"/>
            <wp:effectExtent b="0" l="0" r="0" t="0"/>
            <wp:docPr descr="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48"/>
                    <a:stretch>
                      <a:fillRect/>
                    </a:stretch>
                  </pic:blipFill>
                  <pic:spPr bwMode="auto">
                    <a:xfrm>
                      <a:off x="0" y="0"/>
                      <a:ext cx="5334000" cy="8890000"/>
                    </a:xfrm>
                    <a:prstGeom prst="rect">
                      <a:avLst/>
                    </a:prstGeom>
                    <a:noFill/>
                    <a:ln w="9525">
                      <a:noFill/>
                      <a:headEnd/>
                      <a:tailEnd/>
                    </a:ln>
                  </pic:spPr>
                </pic:pic>
              </a:graphicData>
            </a:graphic>
          </wp:inline>
        </w:drawing>
      </w:r>
    </w:p>
    <w:p>
      <w:pPr>
        <w:pStyle w:val="ImageCaption"/>
      </w:pPr>
      <w:r>
        <w:t xml:space="preserve">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p>
      <w:pPr>
        <w:pStyle w:val="CaptionedFigure"/>
      </w:pPr>
      <w:r>
        <w:drawing>
          <wp:inline>
            <wp:extent cx="5334000" cy="5334000"/>
            <wp:effectExtent b="0" l="0" r="0" t="0"/>
            <wp:docPr descr="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 Day of year where growth milestones were achied at (a) the Smithonian Conservation Biology Institute and (b) Harvard Forest.</w:t>
      </w:r>
    </w:p>
    <w:p>
      <w:pPr>
        <w:pStyle w:val="BodyText"/>
      </w:pPr>
      <w:r>
        <w:t xml:space="preserve">At SCBI, ring-porous</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50</m:t>
            </m:r>
          </m:sub>
        </m:sSub>
      </m:oMath>
      <w:r>
        <w:t xml:space="preserve"> </w:t>
      </w:r>
      <w:r>
        <w:t xml:space="preserve">shifted earlier while</w:t>
      </w:r>
      <w:r>
        <w:t xml:space="preserve"> </w:t>
      </w:r>
      <m:oMath>
        <m:r>
          <m:t>D</m:t>
        </m:r>
        <m:r>
          <m:t>O</m:t>
        </m:r>
        <m:sSub>
          <m:e>
            <m:r>
              <m:t>Y</m:t>
            </m:r>
          </m:e>
          <m:sub>
            <m:r>
              <m:t>75</m:t>
            </m:r>
          </m:sub>
        </m:sSub>
      </m:oMath>
      <w:r>
        <w:t xml:space="preserve"> </w:t>
      </w:r>
      <w:r>
        <w:t xml:space="preserve">did not shift, resulting in longer peak growing season length when critical window temperatures were warmer (Tables 1, Figs. 4, 5).</w:t>
      </w:r>
      <w:r>
        <w:t xml:space="preserve"> </w:t>
      </w:r>
      <w:r>
        <w:t xml:space="preserve">Diffuse-porous</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75</m:t>
            </m:r>
          </m:sub>
        </m:sSub>
      </m:oMath>
      <w:r>
        <w:t xml:space="preserve"> </w:t>
      </w:r>
      <w:r>
        <w:t xml:space="preserve">shifted earlier uniformly resulting in no significant change in peak growing season length.</w:t>
      </w:r>
      <w:r>
        <w:t xml:space="preserve"> </w:t>
      </w:r>
      <w:r>
        <w:t xml:space="preserve">At Harvard Forest,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 while diffuse-porous</w:t>
      </w:r>
      <w:r>
        <w:t xml:space="preserve"> </w:t>
      </w:r>
      <m:oMath>
        <m:r>
          <m:t>D</m:t>
        </m:r>
        <m:r>
          <m:t>O</m:t>
        </m:r>
        <m:sSub>
          <m:e>
            <m:r>
              <m:t>Y</m:t>
            </m:r>
          </m:e>
          <m:sub>
            <m:r>
              <m:t>25</m:t>
            </m:r>
          </m:sub>
        </m:sSub>
      </m:oMath>
      <w:r>
        <w:t xml:space="preserve"> </w:t>
      </w:r>
      <w:r>
        <w:t xml:space="preserve">shifted more than</w:t>
      </w:r>
      <w:r>
        <w:t xml:space="preserve"> </w:t>
      </w:r>
      <m:oMath>
        <m:r>
          <m:t>D</m:t>
        </m:r>
        <m:r>
          <m:t>O</m:t>
        </m:r>
        <m:sSub>
          <m:e>
            <m:r>
              <m:t>Y</m:t>
            </m:r>
          </m:e>
          <m:sub>
            <m:r>
              <m:t>75</m:t>
            </m:r>
          </m:sub>
        </m:sSub>
      </m:oMath>
      <w:r>
        <w:t xml:space="preserve">, resulting in an extended peak growing season length in response to warmer critical window temperatures.</w:t>
      </w:r>
    </w:p>
    <w:bookmarkEnd w:id="50"/>
    <w:bookmarkStart w:id="52" w:name="climate-sensitivity-of-growth"/>
    <w:p>
      <w:pPr>
        <w:pStyle w:val="Heading2"/>
      </w:pP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(Tables 1, Fig. 4).</w:t>
      </w:r>
      <w:r>
        <w:t xml:space="preserve"> </w:t>
      </w:r>
      <w:r>
        <w:t xml:space="preserve">Ring-porous species exhibited no change (SCBI) or a slight increase (Harvard Forest) with warmer early spring temperatures.</w:t>
      </w:r>
      <w:r>
        <w:t xml:space="preserve"> </w:t>
      </w:r>
      <w:r>
        <w:t xml:space="preserve">In contrast, diffuse-porous species exhibited no change (SCBI) or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(Harvard Forest) (Tables 1, Fig. 4).</w:t>
      </w:r>
    </w:p>
    <w:p>
      <w:pPr>
        <w:pStyle w:val="BodyText"/>
      </w:pPr>
      <w:r>
        <w:t xml:space="preserve">Annual growth recorded in tree-ring records,</w:t>
      </w:r>
      <w:r>
        <w:t xml:space="preserve"> </w:t>
      </w:r>
      <m:oMath>
        <m:r>
          <m:t>R</m:t>
        </m:r>
        <m:r>
          <m:t>W</m:t>
        </m:r>
      </m:oMath>
      <w:r>
        <w:t xml:space="preserve">, …</w:t>
      </w:r>
    </w:p>
    <w:p>
      <w:pPr>
        <w:pStyle w:val="CaptionedFigure"/>
      </w:pPr>
      <w:r>
        <w:drawing>
          <wp:inline>
            <wp:extent cx="3810000" cy="2540000"/>
            <wp:effectExtent b="0" l="0" r="0" t="0"/>
            <wp:docPr descr="Figure 6. Climate sensitiivity of annual growth, as derived from tree-rings, for dominant ring- and diffuse- porous species at the Smithonian Conservation Biology Institute and Harvard Forest. Shown are Pearson correlations between ring-width index and and monthly Tmax. Species codes are as given in Table 2." title="" id="1" name="Picture"/>
            <a:graphic>
              <a:graphicData uri="http://schemas.openxmlformats.org/drawingml/2006/picture">
                <pic:pic>
                  <pic:nvPicPr>
                    <pic:cNvPr descr="tables_figures/tree_cores_tmax.tif" id="0" name="Picture"/>
                    <pic:cNvPicPr>
                      <a:picLocks noChangeArrowheads="1" noChangeAspect="1"/>
                    </pic:cNvPicPr>
                  </pic:nvPicPr>
                  <pic:blipFill>
                    <a:blip r:embed="rId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Climate sensitiivity of annual growth, as derived from tree-rings, for dominant ring- and diffuse- porous species at the Smithonian Conservation Biology Institute and Harvard Forest. Shown are Pearson correlations between ring-width index and and monthly Tmax. Species codes are as given in Table 2.</w:t>
      </w:r>
    </w:p>
    <w:bookmarkEnd w:id="52"/>
    <w:bookmarkEnd w:id="53"/>
    <w:bookmarkStart w:id="54" w:name="discussion"/>
    <w:p>
      <w:pPr>
        <w:pStyle w:val="Heading1"/>
      </w:pPr>
      <w:r>
        <w:t xml:space="preserve">Discussion</w:t>
      </w:r>
    </w:p>
    <w:p>
      <w:pPr>
        <w:pStyle w:val="FirstParagraph"/>
      </w:pPr>
      <w:r>
        <w:t xml:space="preserve">We found that warmer spring temperatures in temperate deciduous forests cause earlier tree growth but have little effect on annual woody productivity…</w:t>
      </w:r>
    </w:p>
    <w:p>
      <w:pPr>
        <w:pStyle w:val="BodyText"/>
      </w:pPr>
      <w:r>
        <w:t xml:space="preserve">Although the number of years analyzed here is limited (# years at SCBI, # years at HF), the signal is clear and consistent: for both species groups at both sites, warmer temperatures during virtually any part of the spring led to significantly earlier achievement of growth milestones (</w:t>
      </w:r>
      <w:r>
        <w:rPr>
          <w:i/>
        </w:rPr>
        <w:t xml:space="preserve">CITE RELEVANT FIGS &amp; TABLES</w:t>
      </w:r>
      <w:r>
        <w:t xml:space="preserve"> </w:t>
      </w:r>
      <w:r>
        <w:t xml:space="preserve">).</w:t>
      </w:r>
      <w:r>
        <w:t xml:space="preserve"> </w:t>
      </w:r>
      <w:r>
        <w:t xml:space="preserve">This indicates that this is not a subtle effect.</w:t>
      </w:r>
      <w:r>
        <w:t xml:space="preserve"> </w:t>
      </w:r>
      <w:r>
        <w:t xml:space="preserve">However, the effect on L_PGS, r_max, and</w:t>
      </w:r>
      <w:r>
        <w:t xml:space="preserve"> </w:t>
      </w:r>
      <m:oMath>
        <m:r>
          <m:t>Δ</m:t>
        </m:r>
        <m:r>
          <m:t>D</m:t>
        </m:r>
        <m:r>
          <m:t>B</m:t>
        </m:r>
        <m:r>
          <m:t>H</m:t>
        </m:r>
      </m:oMath>
      <w:r>
        <w:t xml:space="preserve">, if any, is subtle, and a much longer record would be needed to detect such effects.</w:t>
      </w:r>
      <w:r>
        <w:t xml:space="preserve"> </w:t>
      </w:r>
      <w:r>
        <w:t xml:space="preserve">Fortunately, we were able to get at annual growth using tree-ring data (Fig. 6).</w:t>
      </w:r>
      <w:r>
        <w:t xml:space="preserve"> </w:t>
      </w:r>
      <w:r>
        <w:t xml:space="preserve">These confirm that the effect of spring temperatures on annual growth is modest and generally not significant, while revealing a slightly more complex picture.</w:t>
      </w:r>
      <w:r>
        <w:t xml:space="preserve"> </w:t>
      </w:r>
      <w:r>
        <w:t xml:space="preserve">Although spring temperatures prior to May rarely had a significant influence on …</w:t>
      </w:r>
    </w:p>
    <w:p>
      <w:pPr>
        <w:pStyle w:val="BodyText"/>
      </w:pPr>
      <w:r>
        <w:t xml:space="preserve">THe tree-rings also reveal that the strongest temperature sensitivity aligned with peak growing season.</w:t>
      </w:r>
      <w:r>
        <w:t xml:space="preserve"> </w:t>
      </w:r>
      <w:r>
        <w:t xml:space="preserve">This pattern is common across tree-ring studies in temperate deciduous forests.</w:t>
      </w:r>
      <w:r>
        <w:t xml:space="preserve"> </w:t>
      </w:r>
      <w:r>
        <w:t xml:space="preserve">(</w:t>
      </w:r>
      <w:r>
        <w:rPr>
          <w:i/>
        </w:rPr>
        <w:t xml:space="preserve">1-2 sentences generalizing about climate sensitivity of temperate deciduous forest growth–Neil can do this most easily.</w:t>
      </w:r>
      <w:r>
        <w:t xml:space="preserve">)</w:t>
      </w:r>
      <w:r>
        <w:t xml:space="preserve"> </w:t>
      </w:r>
      <w:r>
        <w:t xml:space="preserve">Thus, while our analysis is limited to two sites, we expect that the finding that spring temperatures have limited effect on annual tree growth will hold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(REFS), an earlier start to net C sequestration (REFS), and–as shown here–earlier initiation of stem growth (</w:t>
      </w:r>
      <w:r>
        <w:rPr>
          <w:i/>
        </w:rPr>
        <w:t xml:space="preserve">CITE RELEVANT FIGS &amp; TABLES</w:t>
      </w:r>
      <w:r>
        <w:t xml:space="preserve"> </w:t>
      </w:r>
      <w:r>
        <w:t xml:space="preserve">).</w:t>
      </w:r>
      <w:r>
        <w:t xml:space="preserve"> </w:t>
      </w:r>
      <w:r>
        <w:t xml:space="preserve">Yet, an earlier start to the growing season does not imply a longer growing season</w:t>
      </w:r>
      <w:r>
        <w:t xml:space="preserve"> </w:t>
      </w:r>
      <w:r>
        <w:t xml:space="preserve">(Table 1, Figs 4, 5;</w:t>
      </w:r>
      <w:r>
        <w:t xml:space="preserve"> </w:t>
      </w:r>
      <w:r>
        <w:rPr>
          <w:b/>
        </w:rPr>
        <w:t xml:space="preserve">???</w:t>
      </w:r>
      <w:r>
        <w:t xml:space="preserve">)</w:t>
      </w:r>
      <w:r>
        <w:t xml:space="preserve">.</w:t>
      </w:r>
      <w:r>
        <w:t xml:space="preserve"> </w:t>
      </w:r>
      <w:r>
        <w:t xml:space="preserve">Rather, growth finishes sooner– presumably because of</w:t>
      </w:r>
      <w:r>
        <w:t xml:space="preserve"> </w:t>
      </w:r>
      <w:r>
        <w:rPr>
          <w:i/>
        </w:rPr>
        <w:t xml:space="preserve">C sink limitation</w:t>
      </w:r>
      <w:r>
        <w:t xml:space="preserve"> </w:t>
      </w:r>
      <w:r>
        <w:t xml:space="preserve">(</w:t>
      </w:r>
      <w:r>
        <w:rPr>
          <w:b/>
        </w:rPr>
        <w:t xml:space="preserve">???</w:t>
      </w:r>
      <w:r>
        <w:t xml:space="preserve">)</w:t>
      </w:r>
      <w:r>
        <w:t xml:space="preserve">.</w:t>
      </w:r>
      <w:r>
        <w:t xml:space="preserve"> </w:t>
      </w:r>
      <w:r>
        <w:t xml:space="preserve">As sink limitation controls the end of woody growing season</w:t>
      </w:r>
      <w:r>
        <w:t xml:space="preserve"> </w:t>
      </w:r>
      <w:r>
        <w:t xml:space="preserve">(</w:t>
      </w:r>
      <w:r>
        <w:rPr>
          <w:b/>
        </w:rPr>
        <w:t xml:space="preserve">???</w:t>
      </w:r>
      <w:r>
        <w:t xml:space="preserve">)</w:t>
      </w:r>
      <w:r>
        <w:t xml:space="preserve">, we might expect that an earlier start to growth buffers against unfavorable growth conditions during the peak growing season (e.g., drought).</w:t>
      </w:r>
      <w:r>
        <w:t xml:space="preserve"> </w:t>
      </w:r>
      <w:r>
        <w:rPr>
          <w:i/>
        </w:rPr>
        <w:t xml:space="preserve">Do we see any evidence of this???</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w:t>
      </w:r>
      <w:r>
        <w:t xml:space="preserve"> </w:t>
      </w:r>
      <w:r>
        <w:t xml:space="preserve">(Table 1; Figs. 4, 6;</w:t>
      </w:r>
      <w:r>
        <w:t xml:space="preserve"> </w:t>
      </w:r>
      <w:r>
        <w:rPr>
          <w:b/>
        </w:rPr>
        <w:t xml:space="preserve">???</w:t>
      </w:r>
      <w:r>
        <w:t xml:space="preserve">)</w:t>
      </w:r>
      <w:r>
        <w:t xml:space="preserve">.</w:t>
      </w:r>
      <w:r>
        <w:t xml:space="preserve"> </w:t>
      </w:r>
      <w:r>
        <w:t xml:space="preserve">The implication is that temperate deciduous forests are likely to sequester less CO</w:t>
      </w:r>
      <w:r>
        <w:rPr>
          <w:vertAlign w:val="subscript"/>
        </w:rPr>
        <w:t xml:space="preserve">2</w:t>
      </w:r>
      <w:r>
        <w:t xml:space="preserve"> </w:t>
      </w:r>
      <w:r>
        <w:t xml:space="preserve">than most models suggest, implying that models are underestimating future atmospheric CO</w:t>
      </w:r>
      <w:r>
        <w:rPr>
          <w:vertAlign w:val="subscript"/>
        </w:rPr>
        <w:t xml:space="preserve">2</w:t>
      </w:r>
      <w:r>
        <w:t xml:space="preserve"> </w:t>
      </w:r>
      <w:r>
        <w:t xml:space="preserve">overall.</w:t>
      </w:r>
    </w:p>
    <w:p>
      <w:pPr>
        <w:pStyle w:val="BodyText"/>
      </w:pPr>
      <w:r>
        <w:t xml:space="preserve">~~~~</w:t>
      </w:r>
      <w:r>
        <w:t xml:space="preserve"> </w:t>
      </w:r>
      <w:r>
        <w:t xml:space="preserve">## Cam’s previous content</w:t>
      </w:r>
    </w:p>
    <w:p>
      <w:pPr>
        <w:pStyle w:val="BodyText"/>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54"/>
    <w:bookmarkStart w:id="55" w:name="content-to-incorporate"/>
    <w:p>
      <w:pPr>
        <w:pStyle w:val="Heading1"/>
      </w:pPr>
      <w:r>
        <w:t xml:space="preserve">(Content to incorporate)</w:t>
      </w:r>
    </w:p>
    <w:p>
      <w:pPr>
        <w:pStyle w:val="FirstParagraph"/>
      </w:pPr>
      <w:r>
        <w:t xml:space="preserve">new Science paper:</w:t>
      </w:r>
      <w:r>
        <w:t xml:space="preserve"> </w:t>
      </w:r>
      <w:r>
        <w:t xml:space="preserve">(</w:t>
      </w:r>
      <w:r>
        <w:rPr>
          <w:b/>
        </w:rPr>
        <w:t xml:space="preserve">???</w:t>
      </w:r>
      <w:r>
        <w:t xml:space="preserve">)</w:t>
      </w:r>
    </w:p>
    <w:p>
      <w:pPr>
        <w:pStyle w:val="BodyText"/>
      </w:pPr>
      <w:r>
        <w:t xml:space="preserve">(</w:t>
      </w:r>
      <w:r>
        <w:rPr>
          <w:b/>
        </w:rPr>
        <w:t xml:space="preserve">???</w:t>
      </w:r>
      <w:r>
        <w:t xml:space="preserve">)</w:t>
      </w:r>
    </w:p>
    <w:p>
      <w:pPr>
        <w:pStyle w:val="BodyText"/>
      </w:pPr>
      <w:r>
        <w:t xml:space="preserve">From Neil:</w:t>
      </w:r>
      <w:r>
        <w:t xml:space="preserve"> </w:t>
      </w:r>
      <w:r>
        <w:t xml:space="preserve">Zhang et al. (2021)</w:t>
      </w:r>
      <w:r>
        <w:t xml:space="preserve">,</w:t>
      </w:r>
      <w:r>
        <w:t xml:space="preserve"> </w:t>
      </w:r>
      <w:r>
        <w:t xml:space="preserve">Zhang et al. (2020)</w:t>
      </w:r>
    </w:p>
    <w:p>
      <w:pPr>
        <w:pStyle w:val="BodyText"/>
      </w:pPr>
      <w:r>
        <w:t xml:space="preserve">effect of spring temperature on annual growth in New England:</w:t>
      </w:r>
      <w:r>
        <w:t xml:space="preserve"> </w:t>
      </w:r>
      <w:r>
        <w:t xml:space="preserve">(</w:t>
      </w:r>
      <w:r>
        <w:rPr>
          <w:b/>
        </w:rPr>
        <w:t xml:space="preserve">???</w:t>
      </w:r>
      <w:r>
        <w:t xml:space="preserve">)</w:t>
      </w:r>
    </w:p>
    <w:p>
      <w:pPr>
        <w:pStyle w:val="BodyText"/>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55"/>
    <w:bookmarkStart w:id="56" w:name="acknowledgements"/>
    <w:p>
      <w:pPr>
        <w:pStyle w:val="Heading1"/>
      </w:pPr>
      <w:r>
        <w:t xml:space="preserve">Acknowledgements</w:t>
      </w:r>
    </w:p>
    <w:p>
      <w:pPr>
        <w:pStyle w:val="FirstParagraph"/>
      </w:pPr>
      <w:r>
        <w:t xml:space="preserve">people: (everyone who helped collect data), Jess Shue (data)</w:t>
      </w:r>
      <w:r>
        <w:t xml:space="preserve"> </w:t>
      </w:r>
      <w:r>
        <w:t xml:space="preserve">Funding: ForestGEO</w:t>
      </w:r>
    </w:p>
    <w:bookmarkEnd w:id="56"/>
    <w:bookmarkStart w:id="57" w:name="author-contributions"/>
    <w:p>
      <w:pPr>
        <w:pStyle w:val="Heading1"/>
      </w:pPr>
      <w:r>
        <w:t xml:space="preserve">Author Contributions</w:t>
      </w:r>
    </w:p>
    <w:bookmarkEnd w:id="57"/>
    <w:bookmarkStart w:id="58" w:name="supporting-information"/>
    <w:p>
      <w:pPr>
        <w:pStyle w:val="Heading1"/>
      </w:pP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58"/>
    <w:bookmarkStart w:id="77" w:name="references"/>
    <w:p>
      <w:pPr>
        <w:pStyle w:val="Heading1"/>
      </w:pPr>
      <w:r>
        <w:t xml:space="preserve">References</w:t>
      </w:r>
    </w:p>
    <w:bookmarkStart w:id="76" w:name="refs"/>
    <w:bookmarkStart w:id="59"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w:t>
      </w:r>
      <w:r>
        <w:t xml:space="preserve"> </w:t>
      </w:r>
      <w:r>
        <w:rPr>
          <w:i/>
        </w:rPr>
        <w:t xml:space="preserve">320</w:t>
      </w:r>
      <w:r>
        <w:t xml:space="preserve">(5882), 1444–1449.</w:t>
      </w:r>
    </w:p>
    <w:bookmarkEnd w:id="59"/>
    <w:bookmarkStart w:id="61"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60">
        <w:r>
          <w:rPr>
            <w:rStyle w:val="Hyperlink"/>
          </w:rPr>
          <w:t xml:space="preserve">https://doi.org/10.1111/j.1365-2486.2005.001012.x</w:t>
        </w:r>
      </w:hyperlink>
    </w:p>
    <w:bookmarkEnd w:id="61"/>
    <w:bookmarkStart w:id="63"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62">
        <w:r>
          <w:rPr>
            <w:rStyle w:val="Hyperlink"/>
          </w:rPr>
          <w:t xml:space="preserve">https://doi.org/10.1175/JCLI3800.1</w:t>
        </w:r>
      </w:hyperlink>
    </w:p>
    <w:bookmarkEnd w:id="63"/>
    <w:bookmarkStart w:id="65"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64">
        <w:r>
          <w:rPr>
            <w:rStyle w:val="Hyperlink"/>
          </w:rPr>
          <w:t xml:space="preserve">https://doi.org/10.1111/gcb.14731</w:t>
        </w:r>
      </w:hyperlink>
    </w:p>
    <w:bookmarkEnd w:id="65"/>
    <w:bookmarkStart w:id="67"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66">
        <w:r>
          <w:rPr>
            <w:rStyle w:val="Hyperlink"/>
          </w:rPr>
          <w:t xml:space="preserve">https://doi.org/10.1038/nclimate2253</w:t>
        </w:r>
      </w:hyperlink>
    </w:p>
    <w:bookmarkEnd w:id="67"/>
    <w:bookmarkStart w:id="69"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68">
        <w:r>
          <w:rPr>
            <w:rStyle w:val="Hyperlink"/>
          </w:rPr>
          <w:t xml:space="preserve">https://doi.org/10.1002/ece3.1117</w:t>
        </w:r>
      </w:hyperlink>
    </w:p>
    <w:bookmarkEnd w:id="69"/>
    <w:bookmarkStart w:id="71" w:name="ref-zhang_extended_2020"/>
    <w:p>
      <w:pPr>
        <w:pStyle w:val="Bibliography"/>
      </w:pPr>
      <w:r>
        <w:t xml:space="preserve">Zhang, J., Alexander, M. R., Gou, X., Deslauriers, A., Fonti, P., Zhang, F., &amp; Pederson, N. (2020). Extended xylogenesis and stem biomass production in Juniperus przewalskii Kom. During extreme late-season climatic events.</w:t>
      </w:r>
      <w:r>
        <w:t xml:space="preserve"> </w:t>
      </w:r>
      <w:r>
        <w:rPr>
          <w:i/>
        </w:rPr>
        <w:t xml:space="preserve">Annals of Forest Science</w:t>
      </w:r>
      <w:r>
        <w:t xml:space="preserve">,</w:t>
      </w:r>
      <w:r>
        <w:t xml:space="preserve"> </w:t>
      </w:r>
      <w:r>
        <w:rPr>
          <w:i/>
        </w:rPr>
        <w:t xml:space="preserve">77</w:t>
      </w:r>
      <w:r>
        <w:t xml:space="preserve">(4).</w:t>
      </w:r>
      <w:r>
        <w:t xml:space="preserve"> </w:t>
      </w:r>
      <w:hyperlink r:id="rId70">
        <w:r>
          <w:rPr>
            <w:rStyle w:val="Hyperlink"/>
          </w:rPr>
          <w:t xml:space="preserve">https://doi.org/10.1007/s13595-020-01008-1</w:t>
        </w:r>
      </w:hyperlink>
    </w:p>
    <w:bookmarkEnd w:id="71"/>
    <w:bookmarkStart w:id="73" w:name="ref-zhang_drought_2021"/>
    <w:p>
      <w:pPr>
        <w:pStyle w:val="Bibliography"/>
      </w:pPr>
      <w:r>
        <w:t xml:space="preserve">Zhang, J., Gou, X., Alexander, M. R., Xia, J., Wang, F., Zhang, F., Man, Z., &amp; Pederson, N. (2021). Drought limits wood production of Juniperus przewalskii even as growing seasons lengthens in a cold and arid environment.</w:t>
      </w:r>
      <w:r>
        <w:t xml:space="preserve"> </w:t>
      </w:r>
      <w:r>
        <w:rPr>
          <w:i/>
        </w:rPr>
        <w:t xml:space="preserve">CATENA</w:t>
      </w:r>
      <w:r>
        <w:t xml:space="preserve">,</w:t>
      </w:r>
      <w:r>
        <w:t xml:space="preserve"> </w:t>
      </w:r>
      <w:r>
        <w:rPr>
          <w:i/>
        </w:rPr>
        <w:t xml:space="preserve">196</w:t>
      </w:r>
      <w:r>
        <w:t xml:space="preserve">, 104936.</w:t>
      </w:r>
      <w:r>
        <w:t xml:space="preserve"> </w:t>
      </w:r>
      <w:hyperlink r:id="rId72">
        <w:r>
          <w:rPr>
            <w:rStyle w:val="Hyperlink"/>
          </w:rPr>
          <w:t xml:space="preserve">https://doi.org/10.1016/j.catena.2020.104936</w:t>
        </w:r>
      </w:hyperlink>
    </w:p>
    <w:bookmarkEnd w:id="73"/>
    <w:bookmarkStart w:id="75"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74">
        <w:r>
          <w:rPr>
            <w:rStyle w:val="Hyperlink"/>
          </w:rPr>
          <w:t xml:space="preserve">https://doi.org/10.1016/j.agrformet.2016.06.010</w:t>
        </w:r>
      </w:hyperlink>
    </w:p>
    <w:bookmarkEnd w:id="75"/>
    <w:bookmarkEnd w:id="76"/>
    <w:bookmarkEnd w:id="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42" Target="media/rId42.png" /><Relationship Type="http://schemas.openxmlformats.org/officeDocument/2006/relationships/image" Id="rId28" Target="media/rId28.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51" Target="media/rId51.tiff" /><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68" Target="https://doi.org/10.1002/ece3.1117" TargetMode="External" /><Relationship Type="http://schemas.openxmlformats.org/officeDocument/2006/relationships/hyperlink" Id="rId70" Target="https://doi.org/10.1007/s13595-020-01008-1" TargetMode="External" /><Relationship Type="http://schemas.openxmlformats.org/officeDocument/2006/relationships/hyperlink" Id="rId74" Target="https://doi.org/10.1016/j.agrformet.2016.06.010" TargetMode="External" /><Relationship Type="http://schemas.openxmlformats.org/officeDocument/2006/relationships/hyperlink" Id="rId72" Target="https://doi.org/10.1016/j.catena.2020.104936" TargetMode="External" /><Relationship Type="http://schemas.openxmlformats.org/officeDocument/2006/relationships/hyperlink" Id="rId66" Target="https://doi.org/10.1038/nclimate2253" TargetMode="External" /><Relationship Type="http://schemas.openxmlformats.org/officeDocument/2006/relationships/hyperlink" Id="rId64" Target="https://doi.org/10.1111/gcb.14731" TargetMode="External" /><Relationship Type="http://schemas.openxmlformats.org/officeDocument/2006/relationships/hyperlink" Id="rId60" Target="https://doi.org/10.1111/j.1365-2486.2005.001012.x" TargetMode="External" /><Relationship Type="http://schemas.openxmlformats.org/officeDocument/2006/relationships/hyperlink" Id="rId62" Target="https://doi.org/10.1175/JCLI3800.1" TargetMode="External" /><Relationship Type="http://schemas.openxmlformats.org/officeDocument/2006/relationships/hyperlink" Id="rId35" Target="https://forestgeo.github.io/Climate/" TargetMode="External" /><Relationship Type="http://schemas.openxmlformats.org/officeDocument/2006/relationships/hyperlink" Id="rId45" Target="https://github.com/EcoClimLab/growth_phenology/issues/34" TargetMode="External" /><Relationship Type="http://schemas.openxmlformats.org/officeDocument/2006/relationships/hyperlink" Id="rId36"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68" Target="https://doi.org/10.1002/ece3.1117" TargetMode="External" /><Relationship Type="http://schemas.openxmlformats.org/officeDocument/2006/relationships/hyperlink" Id="rId70" Target="https://doi.org/10.1007/s13595-020-01008-1" TargetMode="External" /><Relationship Type="http://schemas.openxmlformats.org/officeDocument/2006/relationships/hyperlink" Id="rId74" Target="https://doi.org/10.1016/j.agrformet.2016.06.010" TargetMode="External" /><Relationship Type="http://schemas.openxmlformats.org/officeDocument/2006/relationships/hyperlink" Id="rId72" Target="https://doi.org/10.1016/j.catena.2020.104936" TargetMode="External" /><Relationship Type="http://schemas.openxmlformats.org/officeDocument/2006/relationships/hyperlink" Id="rId66" Target="https://doi.org/10.1038/nclimate2253" TargetMode="External" /><Relationship Type="http://schemas.openxmlformats.org/officeDocument/2006/relationships/hyperlink" Id="rId64" Target="https://doi.org/10.1111/gcb.14731" TargetMode="External" /><Relationship Type="http://schemas.openxmlformats.org/officeDocument/2006/relationships/hyperlink" Id="rId60" Target="https://doi.org/10.1111/j.1365-2486.2005.001012.x" TargetMode="External" /><Relationship Type="http://schemas.openxmlformats.org/officeDocument/2006/relationships/hyperlink" Id="rId62" Target="https://doi.org/10.1175/JCLI3800.1" TargetMode="External" /><Relationship Type="http://schemas.openxmlformats.org/officeDocument/2006/relationships/hyperlink" Id="rId35" Target="https://forestgeo.github.io/Climate/" TargetMode="External" /><Relationship Type="http://schemas.openxmlformats.org/officeDocument/2006/relationships/hyperlink" Id="rId45" Target="https://github.com/EcoClimLab/growth_phenology/issues/34" TargetMode="External" /><Relationship Type="http://schemas.openxmlformats.org/officeDocument/2006/relationships/hyperlink" Id="rId36"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2020-12-04T22:06:43Z</dcterms:created>
  <dcterms:modified xsi:type="dcterms:W3CDTF">2020-12-04T22:06:43Z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word_document</vt:lpwstr>
  </property>
</Properties>
</file>